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9C" w:rsidRPr="00782C36" w:rsidRDefault="003A3A9C" w:rsidP="003A3A9C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entury Gothic" w:hAnsi="Century Gothic" w:cs="Calibri"/>
          <w:b/>
          <w:sz w:val="20"/>
        </w:rPr>
      </w:pPr>
    </w:p>
    <w:p w:rsidR="003A3A9C" w:rsidRPr="00782C36" w:rsidRDefault="003A3A9C" w:rsidP="003A3A9C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entury Gothic" w:hAnsi="Century Gothic" w:cs="Calibri"/>
          <w:b/>
          <w:sz w:val="20"/>
        </w:rPr>
      </w:pPr>
      <w:r w:rsidRPr="00782C36">
        <w:rPr>
          <w:rFonts w:ascii="Century Gothic" w:hAnsi="Century Gothic" w:cs="Calibri"/>
          <w:b/>
          <w:sz w:val="20"/>
        </w:rPr>
        <w:t>Załącznik nr 4 Oświadczenie o braku podstaw do wykluczenia z postępowania</w:t>
      </w:r>
      <w:r w:rsidR="00782C36" w:rsidRPr="00782C36">
        <w:rPr>
          <w:rFonts w:ascii="Century Gothic" w:hAnsi="Century Gothic" w:cs="Calibri"/>
          <w:b/>
          <w:sz w:val="20"/>
        </w:rPr>
        <w:br/>
      </w:r>
      <w:r w:rsidR="00782C36" w:rsidRPr="00782C36">
        <w:rPr>
          <w:rFonts w:ascii="Century Gothic" w:hAnsi="Century Gothic" w:cs="Calibri"/>
          <w:b/>
          <w:bCs/>
          <w:color w:val="000000"/>
          <w:sz w:val="20"/>
          <w:lang w:eastAsia="pl-PL"/>
        </w:rPr>
        <w:t xml:space="preserve">Zapytanie ofertowe </w:t>
      </w:r>
      <w:bookmarkStart w:id="0" w:name="_GoBack"/>
      <w:r w:rsidR="00782C36" w:rsidRPr="00782C36">
        <w:rPr>
          <w:rFonts w:ascii="Century Gothic" w:hAnsi="Century Gothic" w:cstheme="minorHAnsi"/>
          <w:b/>
          <w:color w:val="000000" w:themeColor="text1"/>
          <w:sz w:val="20"/>
          <w:shd w:val="clear" w:color="auto" w:fill="FFFFFF" w:themeFill="background1"/>
        </w:rPr>
        <w:t>RAJSKA/</w:t>
      </w:r>
      <w:r w:rsidR="00897A4E">
        <w:rPr>
          <w:rFonts w:ascii="Century Gothic" w:hAnsi="Century Gothic" w:cstheme="minorHAnsi"/>
          <w:b/>
          <w:color w:val="000000" w:themeColor="text1"/>
          <w:sz w:val="20"/>
          <w:shd w:val="clear" w:color="auto" w:fill="FFFFFF" w:themeFill="background1"/>
        </w:rPr>
        <w:t>5</w:t>
      </w:r>
      <w:r w:rsidR="00782C36" w:rsidRPr="00782C36">
        <w:rPr>
          <w:rFonts w:ascii="Century Gothic" w:hAnsi="Century Gothic" w:cstheme="minorHAnsi"/>
          <w:b/>
          <w:color w:val="000000" w:themeColor="text1"/>
          <w:sz w:val="20"/>
          <w:shd w:val="clear" w:color="auto" w:fill="FFFFFF" w:themeFill="background1"/>
        </w:rPr>
        <w:t>/2025</w:t>
      </w:r>
      <w:bookmarkEnd w:id="0"/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782C36" w:rsidRDefault="00782C36" w:rsidP="00782C36">
      <w:pPr>
        <w:pStyle w:val="Bezodstpw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………………………………..                                                                       </w:t>
      </w:r>
      <w:r w:rsidR="003A3A9C" w:rsidRPr="00782C36">
        <w:rPr>
          <w:rFonts w:ascii="Century Gothic" w:hAnsi="Century Gothic" w:cs="Calibri"/>
          <w:sz w:val="20"/>
          <w:szCs w:val="20"/>
        </w:rPr>
        <w:t xml:space="preserve">…………………………………                                                  </w:t>
      </w:r>
      <w:r>
        <w:rPr>
          <w:rFonts w:ascii="Century Gothic" w:hAnsi="Century Gothic" w:cs="Calibri"/>
          <w:sz w:val="20"/>
          <w:szCs w:val="20"/>
        </w:rPr>
        <w:t xml:space="preserve">                          </w:t>
      </w:r>
    </w:p>
    <w:p w:rsidR="003A3A9C" w:rsidRPr="00782C36" w:rsidRDefault="003A3A9C" w:rsidP="003A3A9C">
      <w:pPr>
        <w:pStyle w:val="Bezodstpw"/>
        <w:rPr>
          <w:rFonts w:ascii="Century Gothic" w:hAnsi="Century Gothic" w:cs="Calibri"/>
          <w:sz w:val="20"/>
          <w:szCs w:val="20"/>
        </w:rPr>
      </w:pPr>
      <w:r w:rsidRPr="00782C36">
        <w:rPr>
          <w:rFonts w:ascii="Century Gothic" w:hAnsi="Century Gothic" w:cs="Calibri"/>
          <w:sz w:val="20"/>
          <w:szCs w:val="20"/>
        </w:rPr>
        <w:t xml:space="preserve">       </w:t>
      </w:r>
    </w:p>
    <w:p w:rsidR="003A3A9C" w:rsidRPr="00782C36" w:rsidRDefault="003A3A9C" w:rsidP="003A3A9C">
      <w:pPr>
        <w:pStyle w:val="Bezodstpw"/>
        <w:rPr>
          <w:rFonts w:ascii="Century Gothic" w:hAnsi="Century Gothic" w:cs="Calibri"/>
          <w:sz w:val="20"/>
          <w:szCs w:val="20"/>
        </w:rPr>
      </w:pPr>
      <w:r w:rsidRPr="00782C36">
        <w:rPr>
          <w:rFonts w:ascii="Century Gothic" w:hAnsi="Century Gothic" w:cs="Calibri"/>
          <w:sz w:val="20"/>
          <w:szCs w:val="20"/>
        </w:rPr>
        <w:t>Dane Oferenta</w:t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  <w:t xml:space="preserve"> </w:t>
      </w:r>
      <w:r w:rsidR="00782C36">
        <w:rPr>
          <w:rFonts w:ascii="Century Gothic" w:hAnsi="Century Gothic" w:cs="Calibri"/>
          <w:sz w:val="20"/>
          <w:szCs w:val="20"/>
        </w:rPr>
        <w:t xml:space="preserve">                         </w:t>
      </w:r>
      <w:r w:rsidRPr="00782C36">
        <w:rPr>
          <w:rFonts w:ascii="Century Gothic" w:hAnsi="Century Gothic" w:cs="Calibri"/>
          <w:sz w:val="20"/>
          <w:szCs w:val="20"/>
        </w:rPr>
        <w:t>Miejscowość, data</w:t>
      </w:r>
    </w:p>
    <w:p w:rsidR="003A3A9C" w:rsidRPr="00782C36" w:rsidRDefault="003A3A9C" w:rsidP="003A3A9C">
      <w:pPr>
        <w:jc w:val="center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center"/>
        <w:rPr>
          <w:rFonts w:ascii="Century Gothic" w:hAnsi="Century Gothic" w:cs="Calibri"/>
          <w:b/>
        </w:rPr>
      </w:pPr>
    </w:p>
    <w:p w:rsidR="003A3A9C" w:rsidRPr="00782C36" w:rsidRDefault="003A3A9C" w:rsidP="003A3A9C">
      <w:pPr>
        <w:jc w:val="center"/>
        <w:rPr>
          <w:rFonts w:ascii="Century Gothic" w:hAnsi="Century Gothic" w:cs="Calibri"/>
          <w:b/>
        </w:rPr>
      </w:pPr>
      <w:r w:rsidRPr="00782C36">
        <w:rPr>
          <w:rFonts w:ascii="Century Gothic" w:hAnsi="Century Gothic" w:cs="Calibri"/>
          <w:b/>
        </w:rPr>
        <w:t>Oświadczenie o braku podstaw do wykluczenia  z postępowania</w:t>
      </w: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 związku z zakazem udziału rosyjskich wykonawców w zamówieniach publicznych oświadczam, że nie spełniam definicji: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 xml:space="preserve">wykonawcy, którego beneficjentem rzeczywistym w rozumieniu ustawy z dnia 1 marca 2018 </w:t>
      </w:r>
      <w:proofErr w:type="spellStart"/>
      <w:r w:rsidRPr="00782C36">
        <w:rPr>
          <w:rStyle w:val="markedcontent"/>
          <w:rFonts w:ascii="Century Gothic" w:hAnsi="Century Gothic" w:cs="Calibri"/>
        </w:rPr>
        <w:t>r.o</w:t>
      </w:r>
      <w:proofErr w:type="spellEnd"/>
      <w:r w:rsidRPr="00782C36">
        <w:rPr>
          <w:rStyle w:val="markedcontent"/>
          <w:rFonts w:ascii="Century Gothic" w:hAnsi="Century Gothic" w:cs="Calibri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obywatelem rosyjskim lub osobą fizyczną lub prawną, podmiotem lub organem z siedzibą w Rosji;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osobą prawną, podmiotem lub organem, do którego prawa własności bezpośrednio lub pośrednio w ponad 50% należą do podmiotu, o którym mowa w pkt 4);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osobą fizyczną lub prawną, podmiotem lub organem działającym w imieniu lub pod kierunkiem podmiotów, o których mowa w pkt 4) lub 5);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160" w:line="259" w:lineRule="auto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782C36" w:rsidRPr="00782C36" w:rsidRDefault="00782C36" w:rsidP="003A3A9C">
      <w:pPr>
        <w:jc w:val="right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right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……………………..…………………………</w:t>
      </w:r>
    </w:p>
    <w:p w:rsidR="00AD537C" w:rsidRPr="00782C36" w:rsidRDefault="003A3A9C" w:rsidP="003C3828">
      <w:pPr>
        <w:ind w:left="5664" w:firstLine="708"/>
        <w:jc w:val="center"/>
        <w:rPr>
          <w:rFonts w:ascii="Century Gothic" w:hAnsi="Century Gothic" w:cs="Calibri"/>
          <w:iCs/>
        </w:rPr>
      </w:pPr>
      <w:r w:rsidRPr="00782C36">
        <w:rPr>
          <w:rFonts w:ascii="Century Gothic" w:hAnsi="Century Gothic" w:cs="Calibri"/>
          <w:iCs/>
        </w:rPr>
        <w:t>Podpis</w:t>
      </w:r>
    </w:p>
    <w:sectPr w:rsidR="00AD537C" w:rsidRPr="00782C36" w:rsidSect="00782C3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2F" w:rsidRDefault="00F42C2F" w:rsidP="003A3A9C">
      <w:r>
        <w:separator/>
      </w:r>
    </w:p>
  </w:endnote>
  <w:endnote w:type="continuationSeparator" w:id="0">
    <w:p w:rsidR="00F42C2F" w:rsidRDefault="00F42C2F" w:rsidP="003A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2F" w:rsidRDefault="00F42C2F" w:rsidP="003A3A9C">
      <w:r>
        <w:separator/>
      </w:r>
    </w:p>
  </w:footnote>
  <w:footnote w:type="continuationSeparator" w:id="0">
    <w:p w:rsidR="00F42C2F" w:rsidRDefault="00F42C2F" w:rsidP="003A3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9C" w:rsidRDefault="003A3A9C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A9C"/>
    <w:rsid w:val="00075D77"/>
    <w:rsid w:val="00255482"/>
    <w:rsid w:val="003A3A9C"/>
    <w:rsid w:val="003C3828"/>
    <w:rsid w:val="00492832"/>
    <w:rsid w:val="006B1F30"/>
    <w:rsid w:val="0074648A"/>
    <w:rsid w:val="00782C36"/>
    <w:rsid w:val="00897A4E"/>
    <w:rsid w:val="00945AEC"/>
    <w:rsid w:val="00A67350"/>
    <w:rsid w:val="00AD537C"/>
    <w:rsid w:val="00BA3E37"/>
    <w:rsid w:val="00F41FB3"/>
    <w:rsid w:val="00F42C2F"/>
    <w:rsid w:val="00F6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A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A9C"/>
  </w:style>
  <w:style w:type="paragraph" w:styleId="Stopka">
    <w:name w:val="footer"/>
    <w:basedOn w:val="Normalny"/>
    <w:link w:val="StopkaZnak"/>
    <w:uiPriority w:val="99"/>
    <w:unhideWhenUsed/>
    <w:rsid w:val="003A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A9C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A3A9C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A3A9C"/>
    <w:pPr>
      <w:spacing w:after="0" w:line="240" w:lineRule="auto"/>
    </w:pPr>
    <w:rPr>
      <w:rFonts w:ascii="PMingLiU" w:eastAsia="PMingLiU" w:hAnsi="Times New Roman" w:cs="Times New Roman"/>
      <w:kern w:val="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A3A9C"/>
    <w:rPr>
      <w:rFonts w:ascii="PMingLiU" w:eastAsia="PMingLiU" w:hAnsi="Times New Roman" w:cs="Times New Roman"/>
      <w:kern w:val="0"/>
      <w:lang w:eastAsia="pl-PL"/>
    </w:rPr>
  </w:style>
  <w:style w:type="paragraph" w:customStyle="1" w:styleId="pkt">
    <w:name w:val="pkt"/>
    <w:basedOn w:val="Normalny"/>
    <w:uiPriority w:val="99"/>
    <w:rsid w:val="003A3A9C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A3A9C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A3A9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C36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Recepcja</cp:lastModifiedBy>
  <cp:revision>5</cp:revision>
  <cp:lastPrinted>2025-02-08T09:50:00Z</cp:lastPrinted>
  <dcterms:created xsi:type="dcterms:W3CDTF">2024-08-28T14:45:00Z</dcterms:created>
  <dcterms:modified xsi:type="dcterms:W3CDTF">2025-02-09T06:59:00Z</dcterms:modified>
</cp:coreProperties>
</file>